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9A3" w:rsidRPr="002D29A3" w:rsidRDefault="002D29A3" w:rsidP="002D29A3">
      <w:pPr>
        <w:pBdr>
          <w:bottom w:val="single" w:sz="4" w:space="1" w:color="auto"/>
        </w:pBdr>
        <w:jc w:val="center"/>
        <w:rPr>
          <w:rFonts w:ascii="Century Gothic" w:hAnsi="Century Gothic" w:cs="Arial"/>
          <w:b/>
          <w:bCs/>
          <w:sz w:val="40"/>
          <w:szCs w:val="40"/>
        </w:rPr>
      </w:pPr>
      <w:r w:rsidRPr="002D29A3">
        <w:rPr>
          <w:rFonts w:ascii="Century Gothic" w:hAnsi="Century Gothic" w:cs="Arial"/>
          <w:b/>
          <w:bCs/>
          <w:sz w:val="40"/>
          <w:szCs w:val="40"/>
        </w:rPr>
        <w:t>SCHEDA CORSO</w:t>
      </w:r>
    </w:p>
    <w:p w:rsidR="002D29A3" w:rsidRPr="002D29A3" w:rsidRDefault="002D29A3" w:rsidP="002D29A3">
      <w:pPr>
        <w:pBdr>
          <w:bottom w:val="single" w:sz="4" w:space="1" w:color="auto"/>
        </w:pBd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2D29A3" w:rsidRPr="002D29A3" w:rsidRDefault="002D29A3" w:rsidP="002D29A3">
      <w:pPr>
        <w:pBdr>
          <w:bottom w:val="single" w:sz="4" w:space="1" w:color="auto"/>
        </w:pBdr>
        <w:jc w:val="center"/>
        <w:rPr>
          <w:rFonts w:ascii="Century Gothic" w:hAnsi="Century Gothic" w:cs="Arial"/>
          <w:b/>
          <w:bCs/>
          <w:color w:val="FF0066"/>
          <w:sz w:val="36"/>
          <w:szCs w:val="36"/>
        </w:rPr>
      </w:pPr>
      <w:r w:rsidRPr="002D29A3">
        <w:rPr>
          <w:rFonts w:ascii="Century Gothic" w:hAnsi="Century Gothic" w:cs="Arial"/>
          <w:b/>
          <w:bCs/>
          <w:color w:val="FF0066"/>
          <w:sz w:val="36"/>
          <w:szCs w:val="36"/>
        </w:rPr>
        <w:t xml:space="preserve"> “LA DIAGNOSI ENERGETICA DEGLI EDIFICI”</w:t>
      </w:r>
    </w:p>
    <w:p w:rsidR="002D29A3" w:rsidRPr="002D29A3" w:rsidRDefault="002D29A3" w:rsidP="002D29A3">
      <w:pPr>
        <w:pBdr>
          <w:bottom w:val="single" w:sz="4" w:space="1" w:color="auto"/>
        </w:pBdr>
        <w:jc w:val="center"/>
        <w:rPr>
          <w:rFonts w:ascii="Century Gothic" w:hAnsi="Century Gothic" w:cs="Arial"/>
          <w:b/>
          <w:bCs/>
          <w:color w:val="FF0066"/>
        </w:rPr>
      </w:pPr>
      <w:r w:rsidRPr="002D29A3">
        <w:rPr>
          <w:rFonts w:ascii="Century Gothic" w:hAnsi="Century Gothic" w:cs="Arial"/>
          <w:b/>
          <w:bCs/>
          <w:color w:val="FF0066"/>
        </w:rPr>
        <w:t>14 ottobre 2016</w:t>
      </w:r>
    </w:p>
    <w:p w:rsidR="00752B62" w:rsidRPr="002D29A3" w:rsidRDefault="00752B62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20"/>
          <w:szCs w:val="20"/>
        </w:rPr>
      </w:pPr>
    </w:p>
    <w:p w:rsidR="0054728F" w:rsidRPr="002D29A3" w:rsidRDefault="0054728F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9"/>
          <w:szCs w:val="19"/>
        </w:rPr>
      </w:pPr>
    </w:p>
    <w:p w:rsidR="001132AE" w:rsidRPr="002D29A3" w:rsidRDefault="008C75E3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FINALITA’ DEL CORSO</w:t>
      </w:r>
    </w:p>
    <w:p w:rsidR="006A65B5" w:rsidRPr="002D29A3" w:rsidRDefault="006A65B5" w:rsidP="002D29A3">
      <w:pPr>
        <w:jc w:val="both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 xml:space="preserve">L'efficientamento energetico degli edifici esistenti svolge un ruolo strategico nel raggiungimento degli obiettivi di “consumo quasi zero” indicati dalla Direttiva Europea 2010/31/UE. La diagnosi energetica degli edifici è lo strumento più efficace per promuovere in modo concreto azioni di riqualificazione energetica sul patrimonio edilizio esistente, mediamente caratterizzato da notevoli inefficienze che portano a sprechi di energia che si possono e si devono evitare, raggiungendo due obiettivi: la riduzione drastica dei consumi energetici, quindi delle spese di gestione e dell'impatto sull'ambiente, e la valorizzazione dell'immobile intesa come incremento del suo valore di mercato. </w:t>
      </w:r>
    </w:p>
    <w:p w:rsidR="006A65B5" w:rsidRPr="002D29A3" w:rsidRDefault="006A65B5" w:rsidP="002D29A3">
      <w:pPr>
        <w:jc w:val="both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La diagnosi energetica degli edifici, infatti, attraverso la fase conoscitiva, fornisce tutti gli elementi utili per la corretta valutazione dell’intervento di riqualificazione energetica dell’edificio esistente.</w:t>
      </w:r>
    </w:p>
    <w:p w:rsidR="006A65B5" w:rsidRPr="002D29A3" w:rsidRDefault="006A65B5" w:rsidP="002D29A3">
      <w:pPr>
        <w:jc w:val="both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 xml:space="preserve">Il corso di 8 ore intende fornire ai liberi professionisti e ai tecnici delle imprese le conoscenze tecniche propedeutiche ad una corretta diagnosi energetica, anche con l’ausilio di specifiche strumentazioni. </w:t>
      </w:r>
    </w:p>
    <w:p w:rsidR="000C0E92" w:rsidRPr="002D29A3" w:rsidRDefault="000C0E92" w:rsidP="001C6650">
      <w:pPr>
        <w:rPr>
          <w:rFonts w:ascii="Century Gothic" w:hAnsi="Century Gothic" w:cs="Arial"/>
          <w:b/>
          <w:bCs/>
          <w:sz w:val="17"/>
          <w:szCs w:val="17"/>
        </w:rPr>
      </w:pPr>
    </w:p>
    <w:p w:rsidR="001132AE" w:rsidRPr="002D29A3" w:rsidRDefault="00C03D9F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DURATA</w:t>
      </w:r>
    </w:p>
    <w:p w:rsidR="00C03D9F" w:rsidRPr="002D29A3" w:rsidRDefault="00C03D9F" w:rsidP="001C6650">
      <w:pP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Il corso avrà una durata complessiva di n.</w:t>
      </w:r>
      <w:r w:rsidR="006A65B5" w:rsidRPr="002D29A3">
        <w:rPr>
          <w:rFonts w:ascii="Century Gothic" w:hAnsi="Century Gothic" w:cs="Arial"/>
          <w:b/>
          <w:bCs/>
          <w:sz w:val="17"/>
          <w:szCs w:val="17"/>
        </w:rPr>
        <w:t>8</w:t>
      </w:r>
      <w:r w:rsidRPr="002D29A3">
        <w:rPr>
          <w:rFonts w:ascii="Century Gothic" w:hAnsi="Century Gothic" w:cs="Arial"/>
          <w:b/>
          <w:bCs/>
          <w:sz w:val="17"/>
          <w:szCs w:val="17"/>
        </w:rPr>
        <w:t xml:space="preserve"> ore</w:t>
      </w:r>
      <w:r w:rsidRPr="002D29A3">
        <w:rPr>
          <w:rFonts w:ascii="Century Gothic" w:hAnsi="Century Gothic" w:cs="Arial"/>
          <w:bCs/>
          <w:sz w:val="17"/>
          <w:szCs w:val="17"/>
        </w:rPr>
        <w:t xml:space="preserve"> e si svolgerà in un </w:t>
      </w:r>
      <w:r w:rsidR="006A65B5" w:rsidRPr="002D29A3">
        <w:rPr>
          <w:rFonts w:ascii="Century Gothic" w:hAnsi="Century Gothic" w:cs="Arial"/>
          <w:bCs/>
          <w:sz w:val="17"/>
          <w:szCs w:val="17"/>
        </w:rPr>
        <w:t>unico incontro</w:t>
      </w:r>
      <w:r w:rsidR="009A2E78" w:rsidRPr="002D29A3">
        <w:rPr>
          <w:rFonts w:ascii="Century Gothic" w:hAnsi="Century Gothic" w:cs="Arial"/>
          <w:bCs/>
          <w:sz w:val="17"/>
          <w:szCs w:val="17"/>
        </w:rPr>
        <w:t xml:space="preserve"> </w:t>
      </w:r>
    </w:p>
    <w:p w:rsidR="002D29A3" w:rsidRPr="002D29A3" w:rsidRDefault="002D29A3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</w:p>
    <w:p w:rsidR="001132AE" w:rsidRPr="002D29A3" w:rsidRDefault="001C6650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LUOGO</w:t>
      </w:r>
    </w:p>
    <w:p w:rsidR="001C6650" w:rsidRPr="002D29A3" w:rsidRDefault="001C6650" w:rsidP="001C6650">
      <w:pPr>
        <w:jc w:val="both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Il corso</w:t>
      </w:r>
      <w:r w:rsidR="00761015" w:rsidRPr="002D29A3">
        <w:rPr>
          <w:rFonts w:ascii="Century Gothic" w:hAnsi="Century Gothic" w:cs="Arial"/>
          <w:bCs/>
          <w:sz w:val="17"/>
          <w:szCs w:val="17"/>
        </w:rPr>
        <w:t xml:space="preserve"> si svolgerà presso </w:t>
      </w:r>
      <w:proofErr w:type="spellStart"/>
      <w:r w:rsidR="009A2E78" w:rsidRPr="002D29A3">
        <w:rPr>
          <w:rFonts w:ascii="Century Gothic" w:hAnsi="Century Gothic" w:cs="Arial"/>
          <w:bCs/>
          <w:sz w:val="17"/>
          <w:szCs w:val="17"/>
        </w:rPr>
        <w:t>Digital</w:t>
      </w:r>
      <w:proofErr w:type="spellEnd"/>
      <w:r w:rsidR="009A2E78" w:rsidRPr="002D29A3">
        <w:rPr>
          <w:rFonts w:ascii="Century Gothic" w:hAnsi="Century Gothic" w:cs="Arial"/>
          <w:bCs/>
          <w:sz w:val="17"/>
          <w:szCs w:val="17"/>
        </w:rPr>
        <w:t xml:space="preserve"> Borgo in </w:t>
      </w:r>
      <w:r w:rsidR="002D29A3">
        <w:rPr>
          <w:rFonts w:ascii="Century Gothic" w:hAnsi="Century Gothic" w:cs="Arial"/>
          <w:bCs/>
          <w:sz w:val="17"/>
          <w:szCs w:val="17"/>
        </w:rPr>
        <w:t>Pia</w:t>
      </w:r>
      <w:r w:rsidR="009A2E78" w:rsidRPr="002D29A3">
        <w:rPr>
          <w:rFonts w:ascii="Century Gothic" w:hAnsi="Century Gothic" w:cs="Arial"/>
          <w:bCs/>
          <w:sz w:val="17"/>
          <w:szCs w:val="17"/>
        </w:rPr>
        <w:t>zza Salvador Allende 4 - 65128 Pescara (PE)</w:t>
      </w:r>
      <w:r w:rsidR="00590DD2" w:rsidRPr="002D29A3">
        <w:rPr>
          <w:rFonts w:ascii="Century Gothic" w:hAnsi="Century Gothic" w:cs="Arial"/>
          <w:bCs/>
          <w:sz w:val="17"/>
          <w:szCs w:val="17"/>
        </w:rPr>
        <w:t>.</w:t>
      </w:r>
    </w:p>
    <w:p w:rsidR="001C6650" w:rsidRPr="002D29A3" w:rsidRDefault="001C6650" w:rsidP="001C6650">
      <w:pPr>
        <w:jc w:val="both"/>
        <w:rPr>
          <w:rFonts w:ascii="Century Gothic" w:hAnsi="Century Gothic" w:cs="Arial"/>
          <w:b/>
          <w:bCs/>
          <w:sz w:val="17"/>
          <w:szCs w:val="17"/>
        </w:rPr>
      </w:pPr>
    </w:p>
    <w:p w:rsidR="001132AE" w:rsidRPr="002D29A3" w:rsidRDefault="001A1D42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COSTO</w:t>
      </w:r>
    </w:p>
    <w:p w:rsidR="0054728F" w:rsidRPr="002D29A3" w:rsidRDefault="001A1D42" w:rsidP="0054728F">
      <w:pPr>
        <w:autoSpaceDE w:val="0"/>
        <w:autoSpaceDN w:val="0"/>
        <w:adjustRightInd w:val="0"/>
        <w:jc w:val="both"/>
        <w:rPr>
          <w:rFonts w:ascii="Century Gothic" w:hAnsi="Century Gothic" w:cs="Arial"/>
          <w:color w:val="39383A"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 xml:space="preserve">La quota di iscrizione al corso è pari a </w:t>
      </w:r>
      <w:r w:rsidR="006A65B5" w:rsidRPr="002D29A3">
        <w:rPr>
          <w:rFonts w:ascii="Century Gothic" w:hAnsi="Century Gothic" w:cs="Arial"/>
          <w:b/>
          <w:bCs/>
          <w:sz w:val="17"/>
          <w:szCs w:val="17"/>
        </w:rPr>
        <w:t>4</w:t>
      </w:r>
      <w:r w:rsidRPr="002D29A3">
        <w:rPr>
          <w:rFonts w:ascii="Century Gothic" w:hAnsi="Century Gothic" w:cs="Arial"/>
          <w:b/>
          <w:bCs/>
          <w:sz w:val="17"/>
          <w:szCs w:val="17"/>
        </w:rPr>
        <w:t>0,00 € + IVA</w:t>
      </w:r>
      <w:r w:rsidR="0054728F" w:rsidRPr="002D29A3">
        <w:rPr>
          <w:rFonts w:ascii="Century Gothic" w:hAnsi="Century Gothic" w:cs="Arial"/>
          <w:b/>
          <w:bCs/>
          <w:sz w:val="17"/>
          <w:szCs w:val="17"/>
        </w:rPr>
        <w:t xml:space="preserve"> </w:t>
      </w:r>
      <w:r w:rsidR="0054728F" w:rsidRPr="002D29A3">
        <w:rPr>
          <w:rFonts w:ascii="Century Gothic" w:hAnsi="Century Gothic" w:cs="Arial"/>
          <w:bCs/>
          <w:sz w:val="17"/>
          <w:szCs w:val="17"/>
        </w:rPr>
        <w:t>(48,80 €)</w:t>
      </w:r>
      <w:r w:rsidR="0054728F" w:rsidRPr="002D29A3">
        <w:rPr>
          <w:rFonts w:ascii="Century Gothic" w:hAnsi="Century Gothic" w:cs="Arial"/>
          <w:b/>
          <w:bCs/>
          <w:sz w:val="17"/>
          <w:szCs w:val="17"/>
        </w:rPr>
        <w:t xml:space="preserve"> </w:t>
      </w:r>
      <w:r w:rsidR="0054728F" w:rsidRPr="002D29A3">
        <w:rPr>
          <w:rFonts w:ascii="Century Gothic" w:hAnsi="Century Gothic" w:cs="Arial"/>
          <w:bCs/>
          <w:sz w:val="17"/>
          <w:szCs w:val="17"/>
        </w:rPr>
        <w:t>e va</w:t>
      </w:r>
      <w:r w:rsidR="0054728F" w:rsidRPr="002D29A3">
        <w:rPr>
          <w:rFonts w:ascii="Century Gothic" w:hAnsi="Century Gothic" w:cs="Arial"/>
          <w:b/>
          <w:bCs/>
          <w:sz w:val="17"/>
          <w:szCs w:val="17"/>
        </w:rPr>
        <w:t xml:space="preserve"> </w:t>
      </w:r>
      <w:r w:rsidR="0054728F" w:rsidRPr="002D29A3">
        <w:rPr>
          <w:rFonts w:ascii="Century Gothic" w:hAnsi="Century Gothic" w:cs="Arial"/>
          <w:bCs/>
          <w:sz w:val="17"/>
          <w:szCs w:val="17"/>
        </w:rPr>
        <w:t xml:space="preserve">versata a mezzo bonifico bancario su: Unicredit Banca – codice IBAN: IT07Y0200815408000001513492 intestazione: C.A.Sa. soc. coop. a r.l. L’attestazione di  avvenuto pagamento va inviata a </w:t>
      </w:r>
      <w:hyperlink r:id="rId8" w:history="1">
        <w:r w:rsidR="0054728F" w:rsidRPr="002D29A3">
          <w:rPr>
            <w:rFonts w:ascii="Century Gothic" w:hAnsi="Century Gothic" w:cs="Arial"/>
            <w:bCs/>
            <w:sz w:val="17"/>
            <w:szCs w:val="17"/>
          </w:rPr>
          <w:t>costruireabitaresano@virgilio.it</w:t>
        </w:r>
      </w:hyperlink>
      <w:r w:rsidR="0054728F" w:rsidRPr="002D29A3">
        <w:rPr>
          <w:rFonts w:ascii="Century Gothic" w:hAnsi="Century Gothic" w:cs="Arial"/>
          <w:bCs/>
          <w:sz w:val="17"/>
          <w:szCs w:val="17"/>
        </w:rPr>
        <w:t xml:space="preserve"> unitamente alla scheda di iscrizione scaricabile dal sito </w:t>
      </w:r>
      <w:r w:rsidR="0054728F" w:rsidRPr="002D29A3">
        <w:rPr>
          <w:rFonts w:ascii="Century Gothic" w:hAnsi="Century Gothic" w:cs="Arial"/>
          <w:b/>
          <w:bCs/>
          <w:sz w:val="17"/>
          <w:szCs w:val="17"/>
        </w:rPr>
        <w:t>www.costruireabitaresano.it</w:t>
      </w:r>
    </w:p>
    <w:p w:rsidR="001A1D42" w:rsidRPr="002D29A3" w:rsidRDefault="001A1D42" w:rsidP="001C6650">
      <w:pPr>
        <w:jc w:val="both"/>
        <w:rPr>
          <w:rFonts w:ascii="Century Gothic" w:hAnsi="Century Gothic" w:cs="Arial"/>
          <w:b/>
          <w:bCs/>
          <w:sz w:val="17"/>
          <w:szCs w:val="17"/>
        </w:rPr>
      </w:pPr>
    </w:p>
    <w:p w:rsidR="001132AE" w:rsidRPr="002D29A3" w:rsidRDefault="00C03D9F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 xml:space="preserve">ATTESTATO </w:t>
      </w:r>
      <w:proofErr w:type="spellStart"/>
      <w:r w:rsidRPr="002D29A3">
        <w:rPr>
          <w:rFonts w:ascii="Century Gothic" w:hAnsi="Century Gothic" w:cs="Arial"/>
          <w:b/>
          <w:bCs/>
          <w:sz w:val="17"/>
          <w:szCs w:val="17"/>
        </w:rPr>
        <w:t>DI</w:t>
      </w:r>
      <w:proofErr w:type="spellEnd"/>
      <w:r w:rsidRPr="002D29A3">
        <w:rPr>
          <w:rFonts w:ascii="Century Gothic" w:hAnsi="Century Gothic" w:cs="Arial"/>
          <w:b/>
          <w:bCs/>
          <w:sz w:val="17"/>
          <w:szCs w:val="17"/>
        </w:rPr>
        <w:t xml:space="preserve"> FREQUENZA</w:t>
      </w:r>
    </w:p>
    <w:p w:rsidR="00C03D9F" w:rsidRPr="002D29A3" w:rsidRDefault="00C03D9F" w:rsidP="001C6650">
      <w:pPr>
        <w:jc w:val="both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La partecipazione dà diritto al rilascio di un Attestato di frequenza.</w:t>
      </w:r>
    </w:p>
    <w:p w:rsidR="00C03D9F" w:rsidRPr="002D29A3" w:rsidRDefault="00C03D9F" w:rsidP="001C6650">
      <w:pPr>
        <w:autoSpaceDE w:val="0"/>
        <w:autoSpaceDN w:val="0"/>
        <w:adjustRightInd w:val="0"/>
        <w:jc w:val="both"/>
        <w:rPr>
          <w:rFonts w:ascii="Century Gothic" w:hAnsi="Century Gothic" w:cs="Arial"/>
          <w:color w:val="454747"/>
          <w:sz w:val="17"/>
          <w:szCs w:val="17"/>
        </w:rPr>
      </w:pPr>
    </w:p>
    <w:p w:rsidR="001132AE" w:rsidRPr="002D29A3" w:rsidRDefault="00C03D9F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CREDITI FORMATIVI PROFESSIONALI</w:t>
      </w:r>
    </w:p>
    <w:p w:rsidR="00C03D9F" w:rsidRPr="002D29A3" w:rsidRDefault="00590DD2" w:rsidP="001C6650">
      <w:pPr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Agli architetti partecipanti saranno riconosciuti 8 crediti formativi professionali.</w:t>
      </w:r>
    </w:p>
    <w:p w:rsidR="00590DD2" w:rsidRPr="002D29A3" w:rsidRDefault="00590DD2" w:rsidP="001C6650">
      <w:pPr>
        <w:rPr>
          <w:rFonts w:ascii="Century Gothic" w:hAnsi="Century Gothic" w:cs="Arial"/>
          <w:b/>
          <w:bCs/>
          <w:sz w:val="17"/>
          <w:szCs w:val="17"/>
        </w:rPr>
      </w:pPr>
    </w:p>
    <w:p w:rsidR="00205939" w:rsidRPr="002D29A3" w:rsidRDefault="008C75E3" w:rsidP="00AB14CD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 xml:space="preserve">PROGRAMMA </w:t>
      </w:r>
    </w:p>
    <w:p w:rsidR="00205939" w:rsidRPr="002D29A3" w:rsidRDefault="00205939" w:rsidP="00205939">
      <w:pPr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Lo scenario delle politiche energetiche europee: dalle Direttive comunitarie alla legislazione nazionale;</w:t>
      </w:r>
    </w:p>
    <w:p w:rsidR="00205939" w:rsidRPr="002D29A3" w:rsidRDefault="00205939" w:rsidP="00205939">
      <w:pPr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La diagnosi energetica: approccio metodologico e aspetti organizzativi;</w:t>
      </w:r>
    </w:p>
    <w:p w:rsidR="00205939" w:rsidRPr="002D29A3" w:rsidRDefault="00205939" w:rsidP="00205939">
      <w:pPr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I diversi livelli di diagnosi energetica: l’audit leggero e l’audit di dettaglio;</w:t>
      </w:r>
    </w:p>
    <w:p w:rsidR="00205939" w:rsidRPr="002D29A3" w:rsidRDefault="00205939" w:rsidP="00205939">
      <w:pPr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Gli strumenti per il rilievo e la valutazione della prestazione dell’involucro, degli impianti e dei parametri ambientali:</w:t>
      </w:r>
    </w:p>
    <w:p w:rsidR="00205939" w:rsidRPr="002D29A3" w:rsidRDefault="00205939" w:rsidP="006A65B5">
      <w:pPr>
        <w:ind w:left="426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L’analisi termografica per l’individuazione delle anomalie termiche dell’involucro;</w:t>
      </w:r>
    </w:p>
    <w:p w:rsidR="00205939" w:rsidRPr="002D29A3" w:rsidRDefault="00205939" w:rsidP="006A65B5">
      <w:pPr>
        <w:ind w:left="426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L’indagine endoscopica per la caratterizzazione dell’involucro edilizio;</w:t>
      </w:r>
    </w:p>
    <w:p w:rsidR="00205939" w:rsidRPr="002D29A3" w:rsidRDefault="00205939" w:rsidP="006A65B5">
      <w:pPr>
        <w:ind w:left="426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La termoflussimetria per la misura della trasmittanza in opera;</w:t>
      </w:r>
    </w:p>
    <w:p w:rsidR="00205939" w:rsidRPr="002D29A3" w:rsidRDefault="00205939" w:rsidP="006A65B5">
      <w:pPr>
        <w:ind w:left="426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Il blower door test per la verifica della tenuta all’aria degli edifici;</w:t>
      </w:r>
    </w:p>
    <w:p w:rsidR="00205939" w:rsidRPr="002D29A3" w:rsidRDefault="00205939" w:rsidP="00761015">
      <w:pPr>
        <w:ind w:left="426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La strumentazione per la misurazione dei parametri ambientali;</w:t>
      </w:r>
    </w:p>
    <w:p w:rsidR="001132AE" w:rsidRPr="002D29A3" w:rsidRDefault="00205939" w:rsidP="00AB14CD">
      <w:pPr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- Esempi di diagnosi energetica su edifici esistenti.</w:t>
      </w:r>
    </w:p>
    <w:p w:rsidR="009A2E78" w:rsidRPr="002D29A3" w:rsidRDefault="009A2E78" w:rsidP="001132AE">
      <w:pPr>
        <w:jc w:val="both"/>
        <w:rPr>
          <w:rFonts w:ascii="Century Gothic" w:hAnsi="Century Gothic" w:cs="Arial"/>
          <w:b/>
          <w:bCs/>
          <w:sz w:val="17"/>
          <w:szCs w:val="17"/>
        </w:rPr>
      </w:pPr>
    </w:p>
    <w:p w:rsidR="000C0E92" w:rsidRPr="002D29A3" w:rsidRDefault="000C0E92" w:rsidP="00761015">
      <w:pPr>
        <w:pBdr>
          <w:bottom w:val="single" w:sz="4" w:space="1" w:color="auto"/>
        </w:pBd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BREVE CV DEI DOCENTI</w:t>
      </w:r>
    </w:p>
    <w:p w:rsidR="000C0E92" w:rsidRPr="002D29A3" w:rsidRDefault="000C0E92" w:rsidP="00EE5F58">
      <w:pP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 xml:space="preserve">Palmieri Carmela </w:t>
      </w:r>
    </w:p>
    <w:p w:rsidR="000C0E92" w:rsidRPr="002D29A3" w:rsidRDefault="000C0E92" w:rsidP="00761015">
      <w:pPr>
        <w:pStyle w:val="datiproject"/>
        <w:jc w:val="both"/>
        <w:rPr>
          <w:rFonts w:ascii="Century Gothic" w:hAnsi="Century Gothic" w:cs="Arial"/>
          <w:color w:val="000000"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Architetto, libero professionista, presidente della società Costruire Abitare Sano.</w:t>
      </w:r>
      <w:r w:rsidR="00EE5F58" w:rsidRPr="002D29A3">
        <w:rPr>
          <w:rFonts w:ascii="Century Gothic" w:hAnsi="Century Gothic" w:cs="Arial"/>
          <w:color w:val="000000"/>
          <w:sz w:val="17"/>
          <w:szCs w:val="17"/>
        </w:rPr>
        <w:t xml:space="preserve"> Si occupa di ricerca, progettazione e consulenza su architettura bioecologica, efficienza energetica e sviluppo sostenibile del territorio. Esperta qualificata in diagnosi e certificazione energetica ed energetico-ambientale (CasaClima, ITACA, LEED, ESIT), è iscritta all’elenco nazionale esperti PROTOCOLLO ITACA.</w:t>
      </w:r>
      <w:r w:rsidR="00761015" w:rsidRPr="002D29A3">
        <w:rPr>
          <w:rFonts w:ascii="Century Gothic" w:hAnsi="Century Gothic" w:cs="Arial"/>
          <w:color w:val="000000"/>
          <w:sz w:val="17"/>
          <w:szCs w:val="17"/>
        </w:rPr>
        <w:t xml:space="preserve"> Esperto in Gestione dell’Energia, settore civile, ai sensi della norma UNI CEI 11339, è </w:t>
      </w:r>
      <w:r w:rsidR="00EE5F58" w:rsidRPr="002D29A3">
        <w:rPr>
          <w:rFonts w:ascii="Century Gothic" w:hAnsi="Century Gothic" w:cs="Arial"/>
          <w:color w:val="000000"/>
          <w:sz w:val="17"/>
          <w:szCs w:val="17"/>
        </w:rPr>
        <w:t xml:space="preserve">docente a corsi di formazione e specializzazione ed ha partecipato in qualità di relatrice a convegni nazionali. </w:t>
      </w:r>
    </w:p>
    <w:p w:rsidR="000C0E92" w:rsidRPr="002D29A3" w:rsidRDefault="000C0E92" w:rsidP="00EE5F58">
      <w:pPr>
        <w:jc w:val="both"/>
        <w:rPr>
          <w:rFonts w:ascii="Century Gothic" w:hAnsi="Century Gothic" w:cs="Arial"/>
          <w:b/>
          <w:bCs/>
          <w:sz w:val="17"/>
          <w:szCs w:val="17"/>
        </w:rPr>
      </w:pPr>
      <w:r w:rsidRPr="002D29A3">
        <w:rPr>
          <w:rFonts w:ascii="Century Gothic" w:hAnsi="Century Gothic" w:cs="Arial"/>
          <w:b/>
          <w:bCs/>
          <w:sz w:val="17"/>
          <w:szCs w:val="17"/>
        </w:rPr>
        <w:t>Fabio Armillotta</w:t>
      </w:r>
    </w:p>
    <w:p w:rsidR="00EE5F58" w:rsidRPr="002D29A3" w:rsidRDefault="000C0E92" w:rsidP="00761015">
      <w:pPr>
        <w:jc w:val="both"/>
        <w:rPr>
          <w:rFonts w:ascii="Century Gothic" w:hAnsi="Century Gothic" w:cs="Arial"/>
          <w:bCs/>
          <w:sz w:val="17"/>
          <w:szCs w:val="17"/>
        </w:rPr>
      </w:pPr>
      <w:r w:rsidRPr="002D29A3">
        <w:rPr>
          <w:rFonts w:ascii="Century Gothic" w:hAnsi="Century Gothic" w:cs="Arial"/>
          <w:bCs/>
          <w:sz w:val="17"/>
          <w:szCs w:val="17"/>
        </w:rPr>
        <w:t>Architetto e dottore di ricerca in “Conservazione dei beni architettonici”, svolge attività di ricerca sui temi della sostenibilità degli interventi di recupero edilizio e restauro architettonico con particolare riferimento all’applicazione di nuove tecnologie per la diagnosi energetica (termografia, endoscopia, termoflussimetria).</w:t>
      </w:r>
      <w:r w:rsidRPr="002D29A3">
        <w:rPr>
          <w:rFonts w:ascii="Century Gothic" w:hAnsi="Century Gothic" w:cs="Arial"/>
          <w:sz w:val="17"/>
          <w:szCs w:val="17"/>
        </w:rPr>
        <w:t xml:space="preserve"> </w:t>
      </w:r>
      <w:r w:rsidRPr="002D29A3">
        <w:rPr>
          <w:rFonts w:ascii="Century Gothic" w:hAnsi="Century Gothic" w:cs="Arial"/>
          <w:bCs/>
          <w:sz w:val="17"/>
          <w:szCs w:val="17"/>
        </w:rPr>
        <w:t>Qualifica di addetto (II livello) alle prove non distruttive, metodo: termografia infrarossi, ai sensi alla norma UNI EN ISO 9712:2012</w:t>
      </w:r>
      <w:r w:rsidR="009623FD" w:rsidRPr="002D29A3">
        <w:rPr>
          <w:rFonts w:ascii="Century Gothic" w:hAnsi="Century Gothic" w:cs="Arial"/>
          <w:bCs/>
          <w:sz w:val="17"/>
          <w:szCs w:val="17"/>
        </w:rPr>
        <w:t xml:space="preserve">. </w:t>
      </w:r>
      <w:r w:rsidR="00761015" w:rsidRPr="002D29A3">
        <w:rPr>
          <w:rFonts w:ascii="Century Gothic" w:hAnsi="Century Gothic" w:cs="Arial"/>
          <w:color w:val="000000"/>
          <w:sz w:val="17"/>
          <w:szCs w:val="17"/>
        </w:rPr>
        <w:t xml:space="preserve">Esperto in Gestione dell’Energia, settore civile, ai sensi della norma UNI CEI 11339. </w:t>
      </w:r>
      <w:r w:rsidRPr="002D29A3">
        <w:rPr>
          <w:rFonts w:ascii="Century Gothic" w:hAnsi="Century Gothic" w:cs="Arial"/>
          <w:bCs/>
          <w:sz w:val="17"/>
          <w:szCs w:val="17"/>
        </w:rPr>
        <w:t>Dal 2000 esercita la libera professione presso la società Costruire Abitare Sano di cui è socio dal 2001.</w:t>
      </w:r>
    </w:p>
    <w:sectPr w:rsidR="00EE5F58" w:rsidRPr="002D29A3" w:rsidSect="002D29A3">
      <w:footerReference w:type="default" r:id="rId9"/>
      <w:pgSz w:w="11906" w:h="16838" w:code="9"/>
      <w:pgMar w:top="1134" w:right="746" w:bottom="567" w:left="960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5F58" w:rsidRDefault="00EE5F58">
      <w:r>
        <w:separator/>
      </w:r>
    </w:p>
  </w:endnote>
  <w:endnote w:type="continuationSeparator" w:id="0">
    <w:p w:rsidR="00EE5F58" w:rsidRDefault="00EE5F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Grande">
    <w:charset w:val="00"/>
    <w:family w:val="roman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NeueLT Std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F58" w:rsidRDefault="00EE5F58" w:rsidP="005A206F">
    <w:pPr>
      <w:pStyle w:val="Pidipagina"/>
      <w:rPr>
        <w:rFonts w:ascii="HelveticaNeueLT Std" w:hAnsi="HelveticaNeueLT Std"/>
        <w:b/>
        <w:spacing w:val="16"/>
        <w:sz w:val="14"/>
        <w:szCs w:val="14"/>
      </w:rPr>
    </w:pPr>
  </w:p>
  <w:p w:rsidR="00EE5F58" w:rsidRDefault="00EE5F58" w:rsidP="005A206F">
    <w:pPr>
      <w:pStyle w:val="Pidipagina"/>
      <w:jc w:val="right"/>
      <w:rPr>
        <w:rFonts w:ascii="HelveticaNeueLT Std" w:hAnsi="HelveticaNeueLT Std"/>
        <w:b/>
        <w:spacing w:val="16"/>
        <w:sz w:val="14"/>
        <w:szCs w:val="14"/>
      </w:rPr>
    </w:pPr>
  </w:p>
  <w:p w:rsidR="00EE5F58" w:rsidRPr="008C75E3" w:rsidRDefault="00EE5F58" w:rsidP="005A206F">
    <w:pPr>
      <w:pStyle w:val="Pidipagina"/>
      <w:jc w:val="right"/>
      <w:rPr>
        <w:rFonts w:ascii="HelveticaNeueLT Std" w:hAnsi="HelveticaNeueLT Std"/>
        <w:spacing w:val="16"/>
        <w:sz w:val="18"/>
        <w:szCs w:val="18"/>
      </w:rPr>
    </w:pPr>
    <w:r w:rsidRPr="008C75E3">
      <w:rPr>
        <w:rFonts w:ascii="HelveticaNeueLT Std" w:hAnsi="HelveticaNeueLT Std"/>
        <w:b/>
        <w:spacing w:val="36"/>
        <w:sz w:val="16"/>
        <w:szCs w:val="16"/>
      </w:rPr>
      <w:t xml:space="preserve">  </w:t>
    </w:r>
    <w:r w:rsidRPr="008C75E3">
      <w:rPr>
        <w:rFonts w:ascii="HelveticaNeueLT Std" w:hAnsi="HelveticaNeueLT Std"/>
        <w:spacing w:val="16"/>
        <w:sz w:val="18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5F58" w:rsidRDefault="00EE5F58">
      <w:r>
        <w:separator/>
      </w:r>
    </w:p>
  </w:footnote>
  <w:footnote w:type="continuationSeparator" w:id="0">
    <w:p w:rsidR="00EE5F58" w:rsidRDefault="00EE5F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1"/>
      <w:numFmt w:val="bullet"/>
      <w:lvlText w:val=""/>
      <w:lvlJc w:val="left"/>
      <w:pPr>
        <w:tabs>
          <w:tab w:val="num" w:pos="360"/>
        </w:tabs>
        <w:ind w:left="360" w:firstLine="708"/>
      </w:pPr>
      <w:rPr>
        <w:rFonts w:ascii="Wingdings" w:eastAsia="ヒラギノ角ゴ Pro W3" w:hAnsi="Wingdings" w:hint="default"/>
        <w:color w:val="000000"/>
        <w:position w:val="0"/>
        <w:sz w:val="28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708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428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148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2868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588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308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028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5748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>
    <w:nsid w:val="00000002"/>
    <w:multiLevelType w:val="multilevel"/>
    <w:tmpl w:val="894EE8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D4545D"/>
    <w:multiLevelType w:val="singleLevel"/>
    <w:tmpl w:val="540482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>
    <w:nsid w:val="328264A3"/>
    <w:multiLevelType w:val="singleLevel"/>
    <w:tmpl w:val="09AEA900"/>
    <w:lvl w:ilvl="0">
      <w:start w:val="1"/>
      <w:numFmt w:val="bullet"/>
      <w:lvlText w:val="-"/>
      <w:lvlJc w:val="left"/>
      <w:pPr>
        <w:tabs>
          <w:tab w:val="num" w:pos="1060"/>
        </w:tabs>
        <w:ind w:left="1060" w:hanging="360"/>
      </w:pPr>
      <w:rPr>
        <w:rFonts w:ascii="Times New Roman" w:hAnsi="Times New Roman" w:hint="default"/>
      </w:rPr>
    </w:lvl>
  </w:abstractNum>
  <w:abstractNum w:abstractNumId="4">
    <w:nsid w:val="55126A2C"/>
    <w:multiLevelType w:val="hybridMultilevel"/>
    <w:tmpl w:val="72300A9C"/>
    <w:lvl w:ilvl="0" w:tplc="9FC4A4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drawingGridHorizontalSpacing w:val="120"/>
  <w:displayHorizontalDrawingGridEvery w:val="0"/>
  <w:displayVerticalDrawingGridEvery w:val="2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/>
  <w:rsids>
    <w:rsidRoot w:val="00F8771A"/>
    <w:rsid w:val="000039D4"/>
    <w:rsid w:val="000800D3"/>
    <w:rsid w:val="000C0E92"/>
    <w:rsid w:val="000C52C7"/>
    <w:rsid w:val="001132AE"/>
    <w:rsid w:val="00131EC6"/>
    <w:rsid w:val="00163676"/>
    <w:rsid w:val="00187F4B"/>
    <w:rsid w:val="001913D5"/>
    <w:rsid w:val="001A1D42"/>
    <w:rsid w:val="001B7EB7"/>
    <w:rsid w:val="001C6650"/>
    <w:rsid w:val="001C6BDD"/>
    <w:rsid w:val="001E5812"/>
    <w:rsid w:val="00205939"/>
    <w:rsid w:val="00273515"/>
    <w:rsid w:val="002D29A3"/>
    <w:rsid w:val="00334471"/>
    <w:rsid w:val="00342787"/>
    <w:rsid w:val="00350383"/>
    <w:rsid w:val="00394B44"/>
    <w:rsid w:val="003B6F71"/>
    <w:rsid w:val="00400E2E"/>
    <w:rsid w:val="004913BE"/>
    <w:rsid w:val="005362DF"/>
    <w:rsid w:val="0054728F"/>
    <w:rsid w:val="00552AE8"/>
    <w:rsid w:val="00590DD2"/>
    <w:rsid w:val="005A206F"/>
    <w:rsid w:val="005D3371"/>
    <w:rsid w:val="00651B3B"/>
    <w:rsid w:val="00694F45"/>
    <w:rsid w:val="006963B9"/>
    <w:rsid w:val="006A65B5"/>
    <w:rsid w:val="00735AE5"/>
    <w:rsid w:val="00747E10"/>
    <w:rsid w:val="00752B62"/>
    <w:rsid w:val="00761015"/>
    <w:rsid w:val="007D4325"/>
    <w:rsid w:val="0087006C"/>
    <w:rsid w:val="00874E09"/>
    <w:rsid w:val="008960A6"/>
    <w:rsid w:val="008A5C28"/>
    <w:rsid w:val="008B38AA"/>
    <w:rsid w:val="008C4892"/>
    <w:rsid w:val="008C75E3"/>
    <w:rsid w:val="00947C46"/>
    <w:rsid w:val="00954300"/>
    <w:rsid w:val="009623FD"/>
    <w:rsid w:val="009A2E78"/>
    <w:rsid w:val="009F620B"/>
    <w:rsid w:val="00A84174"/>
    <w:rsid w:val="00AB14CD"/>
    <w:rsid w:val="00AB454D"/>
    <w:rsid w:val="00AE09B4"/>
    <w:rsid w:val="00B6180A"/>
    <w:rsid w:val="00B638AA"/>
    <w:rsid w:val="00B97641"/>
    <w:rsid w:val="00BC2795"/>
    <w:rsid w:val="00C03D9F"/>
    <w:rsid w:val="00C049C2"/>
    <w:rsid w:val="00C25663"/>
    <w:rsid w:val="00C42F3A"/>
    <w:rsid w:val="00CF47C2"/>
    <w:rsid w:val="00D207DE"/>
    <w:rsid w:val="00D36613"/>
    <w:rsid w:val="00DA09B8"/>
    <w:rsid w:val="00DF7228"/>
    <w:rsid w:val="00E0617F"/>
    <w:rsid w:val="00E503B8"/>
    <w:rsid w:val="00E519E7"/>
    <w:rsid w:val="00E625CC"/>
    <w:rsid w:val="00E80DB4"/>
    <w:rsid w:val="00E83643"/>
    <w:rsid w:val="00EB3A36"/>
    <w:rsid w:val="00EC0D0F"/>
    <w:rsid w:val="00EE5F58"/>
    <w:rsid w:val="00EF3248"/>
    <w:rsid w:val="00F23BC9"/>
    <w:rsid w:val="00F54000"/>
    <w:rsid w:val="00F6508E"/>
    <w:rsid w:val="00F8771A"/>
    <w:rsid w:val="00FE3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039D4"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F8771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8771A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1E5812"/>
    <w:rPr>
      <w:color w:val="0000FF"/>
      <w:u w:val="single"/>
    </w:rPr>
  </w:style>
  <w:style w:type="paragraph" w:customStyle="1" w:styleId="Normale1">
    <w:name w:val="Normale1"/>
    <w:rsid w:val="00EF3248"/>
    <w:rPr>
      <w:rFonts w:eastAsia="ヒラギノ角ゴ Pro W3"/>
      <w:color w:val="000000"/>
      <w:sz w:val="22"/>
    </w:rPr>
  </w:style>
  <w:style w:type="paragraph" w:customStyle="1" w:styleId="Testodelblocco1">
    <w:name w:val="Testo del blocco1"/>
    <w:rsid w:val="00EF3248"/>
    <w:pPr>
      <w:ind w:left="5664" w:hanging="1419"/>
    </w:pPr>
    <w:rPr>
      <w:rFonts w:ascii="Arial" w:eastAsia="ヒラギノ角ゴ Pro W3" w:hAnsi="Arial"/>
      <w:color w:val="000000"/>
      <w:sz w:val="22"/>
    </w:rPr>
  </w:style>
  <w:style w:type="paragraph" w:customStyle="1" w:styleId="Corpodeltesto1">
    <w:name w:val="Corpo del testo1"/>
    <w:rsid w:val="00EF3248"/>
    <w:pPr>
      <w:jc w:val="both"/>
    </w:pPr>
    <w:rPr>
      <w:rFonts w:eastAsia="ヒラギノ角ゴ Pro W3"/>
      <w:color w:val="000000"/>
      <w:sz w:val="22"/>
    </w:rPr>
  </w:style>
  <w:style w:type="numbering" w:customStyle="1" w:styleId="List1">
    <w:name w:val="List 1"/>
    <w:rsid w:val="00EF3248"/>
  </w:style>
  <w:style w:type="paragraph" w:customStyle="1" w:styleId="Corpodeltesto31">
    <w:name w:val="Corpo del testo 31"/>
    <w:rsid w:val="00EF3248"/>
    <w:pPr>
      <w:tabs>
        <w:tab w:val="left" w:pos="284"/>
        <w:tab w:val="left" w:pos="2977"/>
        <w:tab w:val="left" w:pos="7797"/>
      </w:tabs>
      <w:jc w:val="both"/>
    </w:pPr>
    <w:rPr>
      <w:rFonts w:ascii="Verdana" w:eastAsia="ヒラギノ角ゴ Pro W3" w:hAnsi="Verdana"/>
      <w:color w:val="000000"/>
      <w:sz w:val="18"/>
    </w:rPr>
  </w:style>
  <w:style w:type="paragraph" w:styleId="Paragrafoelenco">
    <w:name w:val="List Paragraph"/>
    <w:basedOn w:val="Normale"/>
    <w:uiPriority w:val="34"/>
    <w:qFormat/>
    <w:rsid w:val="001C6650"/>
    <w:pPr>
      <w:ind w:left="720"/>
      <w:contextualSpacing/>
    </w:pPr>
  </w:style>
  <w:style w:type="paragraph" w:styleId="Testofumetto">
    <w:name w:val="Balloon Text"/>
    <w:basedOn w:val="Normale"/>
    <w:link w:val="TestofumettoCarattere"/>
    <w:rsid w:val="009623F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9623FD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EE5F58"/>
    <w:rPr>
      <w:b/>
      <w:bCs/>
    </w:rPr>
  </w:style>
  <w:style w:type="paragraph" w:customStyle="1" w:styleId="datiproject">
    <w:name w:val="dati_project"/>
    <w:basedOn w:val="Normale"/>
    <w:rsid w:val="00EE5F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2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struireabitaresano@virgilio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6B256-FF3D-44A3-804E-B4FC2A272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559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marc!o</dc:creator>
  <cp:lastModifiedBy>marco</cp:lastModifiedBy>
  <cp:revision>12</cp:revision>
  <cp:lastPrinted>2016-06-13T15:38:00Z</cp:lastPrinted>
  <dcterms:created xsi:type="dcterms:W3CDTF">2016-06-10T08:05:00Z</dcterms:created>
  <dcterms:modified xsi:type="dcterms:W3CDTF">2016-09-23T14:37:00Z</dcterms:modified>
</cp:coreProperties>
</file>